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6431126da49e3" /><Relationship Type="http://schemas.openxmlformats.org/package/2006/relationships/metadata/core-properties" Target="/docProps/core.xml" Id="R19c12427aa5243f2" /><Relationship Type="http://schemas.openxmlformats.org/officeDocument/2006/relationships/extended-properties" Target="/docProps/app.xml" Id="Reff08b7feca14b8c" /><Relationship Type="http://schemas.openxmlformats.org/officeDocument/2006/relationships/custom-properties" Target="/docProps/custom.xml" Id="R4fc9a2e7ee2542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4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8910638" y="3976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center"/>
        <w:ind w:firstLine="0" w:left="-25" w:right="845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1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"/>
        <w:spacing w:before="108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ARIFUDDIN,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90" w:right="772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ELIMIANA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BERUTU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ALMADINAH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PINKAN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PORTES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RAMAYANA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LEWISA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DARKANI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BUKIT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JEHESKIEL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ALMADANI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DARMA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SARUMPAET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ERVANDO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SUMBAYAK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GHINAFI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LIMBONG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CANDID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GORETTI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JONPITERSON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7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8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JECKSOND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TOGATOROP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NURAFNI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50e210f2cae4a27" /><Relationship Type="http://schemas.openxmlformats.org/officeDocument/2006/relationships/settings" Target="settings.xml" Id="R00bd2aefcc8e4f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